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i w:val="0"/>
          <w:color w:val="9A3A12"/>
          <w:sz w:val="28"/>
        </w:rPr>
        <w:t>TALLER INTEGRADOR — Documento profesional (S21)</w:t>
      </w:r>
    </w:p>
    <w:p>
      <w:pPr>
        <w:spacing w:after="320"/>
        <w:jc w:val="center"/>
      </w:pPr>
      <w:r>
        <w:rPr>
          <w:b w:val="0"/>
          <w:i/>
          <w:color w:val="6B6B6B"/>
          <w:sz w:val="20"/>
        </w:rPr>
        <w:t>Encargo, rúbrica y contenido en bruto para maquetar</w:t>
      </w:r>
    </w:p>
    <w:p>
      <w:pPr>
        <w:pStyle w:val="Heading1"/>
      </w:pPr>
      <w:r>
        <w:rPr>
          <w:color w:val="1F3B66"/>
        </w:rPr>
        <w:t>El encargo</w:t>
      </w:r>
    </w:p>
    <w:p>
      <w:pPr>
        <w:spacing w:after="120"/>
      </w:pPr>
      <w:r>
        <w:rPr>
          <w:b w:val="0"/>
          <w:i w:val="0"/>
          <w:sz w:val="22"/>
        </w:rPr>
        <w:t>La Municipalidad de Abancay solicita un informe profesional titulado «Guía de atractivos turísticos de Abancay», de 8 a 12 páginas, editado en coautoría (2 personas) y entregado en PDF/A. Debe integrar todo lo trabajado en la Unidad 2.</w:t>
      </w:r>
    </w:p>
    <w:p>
      <w:pPr>
        <w:pStyle w:val="Heading1"/>
      </w:pPr>
      <w:r>
        <w:rPr>
          <w:color w:val="1F3B66"/>
        </w:rPr>
        <w:t>Requisitos (de qué sesión sale cada uno)</w:t>
      </w:r>
    </w:p>
    <w:p>
      <w:pPr>
        <w:spacing w:after="60"/>
      </w:pPr>
      <w:r>
        <w:rPr>
          <w:b w:val="0"/>
          <w:i w:val="0"/>
          <w:sz w:val="20"/>
        </w:rPr>
        <w:t>• Portada institucional en su propia sección, sin número de página. (S7, S18)</w:t>
      </w:r>
    </w:p>
    <w:p>
      <w:pPr>
        <w:spacing w:after="60"/>
      </w:pPr>
      <w:r>
        <w:rPr>
          <w:b w:val="0"/>
          <w:i w:val="0"/>
          <w:sz w:val="20"/>
        </w:rPr>
        <w:t>• Estilos de título en todo el documento; nada de negrita a mano. (S7, S8)</w:t>
      </w:r>
    </w:p>
    <w:p>
      <w:pPr>
        <w:spacing w:after="60"/>
      </w:pPr>
      <w:r>
        <w:rPr>
          <w:b w:val="0"/>
          <w:i w:val="0"/>
          <w:sz w:val="20"/>
        </w:rPr>
        <w:t>• Preliminares en romanos y cuerpo en arábigos reiniciado en 1. (S11, S18)</w:t>
      </w:r>
    </w:p>
    <w:p>
      <w:pPr>
        <w:spacing w:after="60"/>
      </w:pPr>
      <w:r>
        <w:rPr>
          <w:b w:val="0"/>
          <w:i w:val="0"/>
          <w:sz w:val="20"/>
        </w:rPr>
        <w:t>• Encabezado por sección con el título; pie con número de página. (S18)</w:t>
      </w:r>
    </w:p>
    <w:p>
      <w:pPr>
        <w:spacing w:after="60"/>
      </w:pPr>
      <w:r>
        <w:rPr>
          <w:b w:val="0"/>
          <w:i w:val="0"/>
          <w:sz w:val="20"/>
        </w:rPr>
        <w:t>• Una tabla con estilo y fila de encabezado repetida. (S9)</w:t>
      </w:r>
    </w:p>
    <w:p>
      <w:pPr>
        <w:spacing w:after="60"/>
      </w:pPr>
      <w:r>
        <w:rPr>
          <w:b w:val="0"/>
          <w:i w:val="0"/>
          <w:sz w:val="20"/>
        </w:rPr>
        <w:t>• Al menos dos figuras (imagen o SmartArt) con título de figura. (S10, S12)</w:t>
      </w:r>
    </w:p>
    <w:p>
      <w:pPr>
        <w:spacing w:after="60"/>
      </w:pPr>
      <w:r>
        <w:rPr>
          <w:b w:val="0"/>
          <w:i w:val="0"/>
          <w:sz w:val="20"/>
        </w:rPr>
        <w:t>• Índice automático, tabla de ilustraciones y una referencia cruzada. (S12)</w:t>
      </w:r>
    </w:p>
    <w:p>
      <w:pPr>
        <w:spacing w:after="60"/>
      </w:pPr>
      <w:r>
        <w:rPr>
          <w:b w:val="0"/>
          <w:i w:val="0"/>
          <w:sz w:val="20"/>
        </w:rPr>
        <w:t>• Bibliografía APA (≥ 5 fuentes) con el gestor de citas. (S13)</w:t>
      </w:r>
    </w:p>
    <w:p>
      <w:pPr>
        <w:spacing w:after="60"/>
      </w:pPr>
      <w:r>
        <w:rPr>
          <w:b w:val="0"/>
          <w:i w:val="0"/>
          <w:sz w:val="20"/>
        </w:rPr>
        <w:t>• Campaña de cartas a operadores turísticos con un campo condicional. (S14)</w:t>
      </w:r>
    </w:p>
    <w:p>
      <w:pPr>
        <w:spacing w:after="60"/>
      </w:pPr>
      <w:r>
        <w:rPr>
          <w:b w:val="0"/>
          <w:i w:val="0"/>
          <w:sz w:val="20"/>
        </w:rPr>
        <w:t>• Formulario de registro de visitantes protegido. (S15)</w:t>
      </w:r>
    </w:p>
    <w:p>
      <w:pPr>
        <w:spacing w:after="60"/>
      </w:pPr>
      <w:r>
        <w:rPr>
          <w:b w:val="0"/>
          <w:i w:val="0"/>
          <w:sz w:val="20"/>
        </w:rPr>
        <w:t>• Coautoría en la nube o revisión con control de cambios, con rastro. (S16, S20)</w:t>
      </w:r>
    </w:p>
    <w:p>
      <w:pPr>
        <w:spacing w:after="60"/>
      </w:pPr>
      <w:r>
        <w:rPr>
          <w:b w:val="0"/>
          <w:i w:val="0"/>
          <w:sz w:val="20"/>
        </w:rPr>
        <w:t>• Accesibilidad (alt text, enlaces descriptivos, contraste) y PDF/A. (S19)</w:t>
      </w:r>
    </w:p>
    <w:p>
      <w:pPr>
        <w:pStyle w:val="Heading1"/>
      </w:pPr>
      <w:r>
        <w:rPr>
          <w:color w:val="1F3B66"/>
        </w:rPr>
        <w:t>Rúbrica (100 puntos)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Criterio</w:t>
            </w:r>
          </w:p>
        </w:tc>
        <w:tc>
          <w:tcPr>
            <w:tcW w:type="dxa" w:w="2880"/>
          </w:tcPr>
          <w:p>
            <w:r>
              <w:rPr>
                <w:b/>
              </w:rPr>
              <w:t>Puntos</w:t>
            </w:r>
          </w:p>
        </w:tc>
        <w:tc>
          <w:tcPr>
            <w:tcW w:type="dxa" w:w="2880"/>
          </w:tcPr>
          <w:p>
            <w:r>
              <w:rPr>
                <w:b/>
              </w:rPr>
              <w:t>Sesión</w:t>
            </w:r>
          </w:p>
        </w:tc>
      </w:tr>
      <w:tr>
        <w:tc>
          <w:tcPr>
            <w:tcW w:type="dxa" w:w="2880"/>
          </w:tcPr>
          <w:p>
            <w:r>
              <w:t>Estructura, secciones y numeración (portada sin nº, romanos/arábigos)</w:t>
            </w:r>
          </w:p>
        </w:tc>
        <w:tc>
          <w:tcPr>
            <w:tcW w:type="dxa" w:w="2880"/>
          </w:tcPr>
          <w:p>
            <w:r>
              <w:t>15</w:t>
            </w:r>
          </w:p>
        </w:tc>
        <w:tc>
          <w:tcPr>
            <w:tcW w:type="dxa" w:w="2880"/>
          </w:tcPr>
          <w:p>
            <w:r>
              <w:t>S11, S18</w:t>
            </w:r>
          </w:p>
        </w:tc>
      </w:tr>
      <w:tr>
        <w:tc>
          <w:tcPr>
            <w:tcW w:type="dxa" w:w="2880"/>
          </w:tcPr>
          <w:p>
            <w:r>
              <w:t>Estilos aplicados en todo el documento (sin formato manual)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S7, S8</w:t>
            </w:r>
          </w:p>
        </w:tc>
      </w:tr>
      <w:tr>
        <w:tc>
          <w:tcPr>
            <w:tcW w:type="dxa" w:w="2880"/>
          </w:tcPr>
          <w:p>
            <w:r>
              <w:t>Índice, tabla de ilustraciones y una referencia cruzada</w:t>
            </w:r>
          </w:p>
        </w:tc>
        <w:tc>
          <w:tcPr>
            <w:tcW w:type="dxa" w:w="2880"/>
          </w:tcPr>
          <w:p>
            <w:r>
              <w:t>15</w:t>
            </w:r>
          </w:p>
        </w:tc>
        <w:tc>
          <w:tcPr>
            <w:tcW w:type="dxa" w:w="2880"/>
          </w:tcPr>
          <w:p>
            <w:r>
              <w:t>S12</w:t>
            </w:r>
          </w:p>
        </w:tc>
      </w:tr>
      <w:tr>
        <w:tc>
          <w:tcPr>
            <w:tcW w:type="dxa" w:w="2880"/>
          </w:tcPr>
          <w:p>
            <w:r>
              <w:t>Bibliografía APA (≥ 5 fuentes) bien citada con el gestor</w:t>
            </w:r>
          </w:p>
        </w:tc>
        <w:tc>
          <w:tcPr>
            <w:tcW w:type="dxa" w:w="2880"/>
          </w:tcPr>
          <w:p>
            <w:r>
              <w:t>15</w:t>
            </w:r>
          </w:p>
        </w:tc>
        <w:tc>
          <w:tcPr>
            <w:tcW w:type="dxa" w:w="2880"/>
          </w:tcPr>
          <w:p>
            <w:r>
              <w:t>S13</w:t>
            </w:r>
          </w:p>
        </w:tc>
      </w:tr>
      <w:tr>
        <w:tc>
          <w:tcPr>
            <w:tcW w:type="dxa" w:w="2880"/>
          </w:tcPr>
          <w:p>
            <w:r>
              <w:t>Tabla con encabezado repetido y ≥ 2 figuras con título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S9, S10</w:t>
            </w:r>
          </w:p>
        </w:tc>
      </w:tr>
      <w:tr>
        <w:tc>
          <w:tcPr>
            <w:tcW w:type="dxa" w:w="2880"/>
          </w:tcPr>
          <w:p>
            <w:r>
              <w:t>Campaña de correspondencia con campo condicional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S14</w:t>
            </w:r>
          </w:p>
        </w:tc>
      </w:tr>
      <w:tr>
        <w:tc>
          <w:tcPr>
            <w:tcW w:type="dxa" w:w="2880"/>
          </w:tcPr>
          <w:p>
            <w:r>
              <w:t>Formulario de registro de visitantes protegido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S15</w:t>
            </w:r>
          </w:p>
        </w:tc>
      </w:tr>
      <w:tr>
        <w:tc>
          <w:tcPr>
            <w:tcW w:type="dxa" w:w="2880"/>
          </w:tcPr>
          <w:p>
            <w:r>
              <w:t>Accesibilidad (alt text, contraste) + exportación a PDF/A</w:t>
            </w:r>
          </w:p>
        </w:tc>
        <w:tc>
          <w:tcPr>
            <w:tcW w:type="dxa" w:w="2880"/>
          </w:tcPr>
          <w:p>
            <w:r>
              <w:t>10</w:t>
            </w:r>
          </w:p>
        </w:tc>
        <w:tc>
          <w:tcPr>
            <w:tcW w:type="dxa" w:w="2880"/>
          </w:tcPr>
          <w:p>
            <w:r>
              <w:t>S19</w:t>
            </w:r>
          </w:p>
        </w:tc>
      </w:tr>
      <w:tr>
        <w:tc>
          <w:tcPr>
            <w:tcW w:type="dxa" w:w="2880"/>
          </w:tcPr>
          <w:p>
            <w:r>
              <w:t>Evidencia de coautoría / revisión</w:t>
            </w:r>
          </w:p>
        </w:tc>
        <w:tc>
          <w:tcPr>
            <w:tcW w:type="dxa" w:w="2880"/>
          </w:tcPr>
          <w:p>
            <w:r>
              <w:t>5</w:t>
            </w:r>
          </w:p>
        </w:tc>
        <w:tc>
          <w:tcPr>
            <w:tcW w:type="dxa" w:w="2880"/>
          </w:tcPr>
          <w:p>
            <w:r>
              <w:t>S16, S20</w:t>
            </w:r>
          </w:p>
        </w:tc>
      </w:tr>
      <w:tr>
        <w:tc>
          <w:tcPr>
            <w:tcW w:type="dxa" w:w="2880"/>
          </w:tcPr>
          <w:p>
            <w:r>
              <w:rPr>
                <w:b/>
              </w:rPr>
              <w:t>TOTAL</w:t>
            </w:r>
          </w:p>
        </w:tc>
        <w:tc>
          <w:tcPr>
            <w:tcW w:type="dxa" w:w="2880"/>
          </w:tcPr>
          <w:p>
            <w:r>
              <w:rPr>
                <w:b/>
              </w:rPr>
              <w:t>100</w:t>
            </w:r>
          </w:p>
        </w:tc>
        <w:tc>
          <w:tcPr>
            <w:tcW w:type="dxa" w:w="2880"/>
          </w:tcPr>
          <w:p/>
        </w:tc>
      </w:tr>
    </w:tbl>
    <w:p/>
    <w:p>
      <w:pPr>
        <w:pStyle w:val="Heading1"/>
      </w:pPr>
      <w:r>
        <w:rPr>
          <w:color w:val="1F3B66"/>
        </w:rPr>
        <w:t>Contenido en bruto de los atractivos (para maquetar)</w:t>
      </w:r>
    </w:p>
    <w:p>
      <w:pPr>
        <w:spacing w:after="160"/>
      </w:pPr>
      <w:r>
        <w:rPr>
          <w:b w:val="0"/>
          <w:i/>
          <w:color w:val="6B6B6B"/>
          <w:sz w:val="20"/>
        </w:rPr>
        <w:t>Usa este texto como base del cuerpo del informe. Aplícale estilos, añádele figuras con título y cítalo con las fuentes de s21-fuentes-apa.txt.</w:t>
      </w:r>
    </w:p>
    <w:p>
      <w:pPr>
        <w:spacing w:after="40"/>
      </w:pPr>
      <w:r>
        <w:rPr>
          <w:b/>
          <w:i w:val="0"/>
          <w:color w:val="1F3B66"/>
          <w:sz w:val="24"/>
        </w:rPr>
        <w:t>Santuario Nacional de Ampay</w:t>
      </w:r>
    </w:p>
    <w:p>
      <w:pPr>
        <w:spacing w:after="160"/>
      </w:pPr>
      <w:r>
        <w:rPr>
          <w:b w:val="0"/>
          <w:i w:val="0"/>
          <w:sz w:val="22"/>
        </w:rPr>
        <w:t>Área natural protegida creada en 1987 sobre la ciudad. Protege 3 635,5 hectáreas de bosque andino, conserva la intimpa y la laguna de Angascocha. Ofrece senderos para caminata y observación de aves.</w:t>
      </w:r>
    </w:p>
    <w:p>
      <w:pPr>
        <w:spacing w:after="40"/>
      </w:pPr>
      <w:r>
        <w:rPr>
          <w:b/>
          <w:i w:val="0"/>
          <w:color w:val="1F3B66"/>
          <w:sz w:val="24"/>
        </w:rPr>
        <w:t>Complejo arqueológico de Saywite</w:t>
      </w:r>
    </w:p>
    <w:p>
      <w:pPr>
        <w:spacing w:after="160"/>
      </w:pPr>
      <w:r>
        <w:rPr>
          <w:b w:val="0"/>
          <w:i w:val="0"/>
          <w:sz w:val="22"/>
        </w:rPr>
        <w:t>A una hora de la ciudad, famoso por la Piedra de Saywite, un monolito tallado con animales, canales y terrazas. Testimonio de la ingeniería hidráulica inca.</w:t>
      </w:r>
    </w:p>
    <w:p>
      <w:pPr>
        <w:spacing w:after="40"/>
      </w:pPr>
      <w:r>
        <w:rPr>
          <w:b/>
          <w:i w:val="0"/>
          <w:color w:val="1F3B66"/>
          <w:sz w:val="24"/>
        </w:rPr>
        <w:t>Cañón del río Pachachaca</w:t>
      </w:r>
    </w:p>
    <w:p>
      <w:pPr>
        <w:spacing w:after="160"/>
      </w:pPr>
      <w:r>
        <w:rPr>
          <w:b w:val="0"/>
          <w:i w:val="0"/>
          <w:sz w:val="22"/>
        </w:rPr>
        <w:t>Garganta del río Pachachaca cruzada por un puente colonial de piedra. Punto de fotografía de paisaje y de actividades de aventura.</w:t>
      </w:r>
    </w:p>
    <w:p>
      <w:pPr>
        <w:spacing w:after="40"/>
      </w:pPr>
      <w:r>
        <w:rPr>
          <w:b/>
          <w:i w:val="0"/>
          <w:color w:val="1F3B66"/>
          <w:sz w:val="24"/>
        </w:rPr>
        <w:t>Carnaval Abanquino</w:t>
      </w:r>
    </w:p>
    <w:p>
      <w:pPr>
        <w:spacing w:after="160"/>
      </w:pPr>
      <w:r>
        <w:rPr>
          <w:b w:val="0"/>
          <w:i w:val="0"/>
          <w:sz w:val="22"/>
        </w:rPr>
        <w:t>La fiesta más representativa, en febrero, con comparsas, música y la tradicional «tumba monte». Atrae visitantes de toda la región.</w:t>
      </w:r>
    </w:p>
    <w:p>
      <w:pPr>
        <w:spacing w:after="40"/>
      </w:pPr>
      <w:r>
        <w:rPr>
          <w:b/>
          <w:i w:val="0"/>
          <w:color w:val="1F3B66"/>
          <w:sz w:val="24"/>
        </w:rPr>
        <w:t>Mirador del Cristo Blanco</w:t>
      </w:r>
    </w:p>
    <w:p>
      <w:pPr>
        <w:spacing w:after="160"/>
      </w:pPr>
      <w:r>
        <w:rPr>
          <w:b w:val="0"/>
          <w:i w:val="0"/>
          <w:sz w:val="22"/>
        </w:rPr>
        <w:t>Mirador con vista panorámica de la ciudad y el valle. Ideal al atardecer.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