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9A3A12"/>
          <w:sz w:val="28"/>
        </w:rPr>
        <w:t>EXAMEN PRÁCTICO — Módulo 2 (S22)</w:t>
      </w:r>
    </w:p>
    <w:p>
      <w:pPr>
        <w:spacing w:after="320"/>
        <w:jc w:val="center"/>
      </w:pPr>
      <w:r>
        <w:rPr>
          <w:b w:val="0"/>
          <w:i/>
          <w:color w:val="6B6B6B"/>
          <w:sz w:val="20"/>
        </w:rPr>
        <w:t>Procesador de textos · 60 % de la nota del examen</w:t>
      </w:r>
    </w:p>
    <w:p>
      <w:pPr>
        <w:pStyle w:val="Heading1"/>
      </w:pPr>
      <w:r>
        <w:rPr>
          <w:color w:val="1F3B66"/>
        </w:rPr>
        <w:t>Instrucciones</w:t>
      </w:r>
    </w:p>
    <w:p>
      <w:pPr>
        <w:spacing w:after="120"/>
      </w:pPr>
      <w:r>
        <w:rPr>
          <w:b w:val="0"/>
          <w:i w:val="0"/>
          <w:sz w:val="22"/>
        </w:rPr>
        <w:t>Con el contenido en bruto de la última página, produce un informe profesional que cumpla los requisitos de la rúbrica. Entrega DOS archivos: el editable (.docx u .odt) y el PDF/A. Dispones del tiempo de la sesión.</w:t>
      </w:r>
    </w:p>
    <w:p>
      <w:pPr>
        <w:spacing w:after="60"/>
      </w:pPr>
      <w:r>
        <w:rPr>
          <w:b w:val="0"/>
          <w:i w:val="0"/>
          <w:sz w:val="20"/>
        </w:rPr>
        <w:t>• Trabaja de forma individual (salvo indicación del docente).</w:t>
      </w:r>
    </w:p>
    <w:p>
      <w:pPr>
        <w:spacing w:after="60"/>
      </w:pPr>
      <w:r>
        <w:rPr>
          <w:b w:val="0"/>
          <w:i w:val="0"/>
          <w:sz w:val="20"/>
        </w:rPr>
        <w:t>• Usa s22-datos-correspondencia.xlsx para la combinación de correspondencia.</w:t>
      </w:r>
    </w:p>
    <w:p>
      <w:pPr>
        <w:spacing w:after="60"/>
      </w:pPr>
      <w:r>
        <w:rPr>
          <w:b w:val="0"/>
          <w:i w:val="0"/>
          <w:sz w:val="20"/>
        </w:rPr>
        <w:t>• Antes de exportar: actualiza todos los campos (Ctrl+E → F9) y pasa el Comprobador de accesibilidad.</w:t>
      </w:r>
    </w:p>
    <w:p>
      <w:pPr>
        <w:pStyle w:val="Heading1"/>
      </w:pPr>
      <w:r>
        <w:rPr>
          <w:color w:val="1F3B66"/>
        </w:rPr>
        <w:t>Rúbrica del práctico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Requisito</w:t>
            </w:r>
          </w:p>
        </w:tc>
        <w:tc>
          <w:tcPr>
            <w:tcW w:type="dxa" w:w="2880"/>
          </w:tcPr>
          <w:p>
            <w:r>
              <w:rPr>
                <w:b/>
              </w:rPr>
              <w:t>Puntos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Sesión</w:t>
            </w:r>
          </w:p>
        </w:tc>
      </w:tr>
      <w:tr>
        <w:tc>
          <w:tcPr>
            <w:tcW w:type="dxa" w:w="2880"/>
          </w:tcPr>
          <w:p>
            <w:r>
              <w:t>Estilos de título aplicados (sin formato manual) + plantilla base</w:t>
            </w:r>
          </w:p>
        </w:tc>
        <w:tc>
          <w:tcPr>
            <w:tcW w:type="dxa" w:w="2880"/>
          </w:tcPr>
          <w:p>
            <w:r>
              <w:t>8</w:t>
            </w:r>
          </w:p>
        </w:tc>
        <w:tc>
          <w:tcPr>
            <w:tcW w:type="dxa" w:w="2880"/>
          </w:tcPr>
          <w:p>
            <w:r>
              <w:t>S7, S8</w:t>
            </w:r>
          </w:p>
        </w:tc>
      </w:tr>
      <w:tr>
        <w:tc>
          <w:tcPr>
            <w:tcW w:type="dxa" w:w="2880"/>
          </w:tcPr>
          <w:p>
            <w:r>
              <w:t>Secciones: portada sin número, romanos y arábigos por sección</w:t>
            </w:r>
          </w:p>
        </w:tc>
        <w:tc>
          <w:tcPr>
            <w:tcW w:type="dxa" w:w="2880"/>
          </w:tcPr>
          <w:p>
            <w:r>
              <w:t>10</w:t>
            </w:r>
          </w:p>
        </w:tc>
        <w:tc>
          <w:tcPr>
            <w:tcW w:type="dxa" w:w="2880"/>
          </w:tcPr>
          <w:p>
            <w:r>
              <w:t>S11, S18</w:t>
            </w:r>
          </w:p>
        </w:tc>
      </w:tr>
      <w:tr>
        <w:tc>
          <w:tcPr>
            <w:tcW w:type="dxa" w:w="2880"/>
          </w:tcPr>
          <w:p>
            <w:r>
              <w:t>Índice automático + tabla de ilustraciones + referencia cruzada</w:t>
            </w:r>
          </w:p>
        </w:tc>
        <w:tc>
          <w:tcPr>
            <w:tcW w:type="dxa" w:w="2880"/>
          </w:tcPr>
          <w:p>
            <w:r>
              <w:t>12</w:t>
            </w:r>
          </w:p>
        </w:tc>
        <w:tc>
          <w:tcPr>
            <w:tcW w:type="dxa" w:w="2880"/>
          </w:tcPr>
          <w:p>
            <w:r>
              <w:t>S12</w:t>
            </w:r>
          </w:p>
        </w:tc>
      </w:tr>
      <w:tr>
        <w:tc>
          <w:tcPr>
            <w:tcW w:type="dxa" w:w="2880"/>
          </w:tcPr>
          <w:p>
            <w:r>
              <w:t>Bibliografía APA (≥ 3 fuentes) con el gestor</w:t>
            </w:r>
          </w:p>
        </w:tc>
        <w:tc>
          <w:tcPr>
            <w:tcW w:type="dxa" w:w="2880"/>
          </w:tcPr>
          <w:p>
            <w:r>
              <w:t>10</w:t>
            </w:r>
          </w:p>
        </w:tc>
        <w:tc>
          <w:tcPr>
            <w:tcW w:type="dxa" w:w="2880"/>
          </w:tcPr>
          <w:p>
            <w:r>
              <w:t>S13</w:t>
            </w:r>
          </w:p>
        </w:tc>
      </w:tr>
      <w:tr>
        <w:tc>
          <w:tcPr>
            <w:tcW w:type="dxa" w:w="2880"/>
          </w:tcPr>
          <w:p>
            <w:r>
              <w:t>Tabla con encabezado repetido y figura con título</w:t>
            </w:r>
          </w:p>
        </w:tc>
        <w:tc>
          <w:tcPr>
            <w:tcW w:type="dxa" w:w="2880"/>
          </w:tcPr>
          <w:p>
            <w:r>
              <w:t>8</w:t>
            </w:r>
          </w:p>
        </w:tc>
        <w:tc>
          <w:tcPr>
            <w:tcW w:type="dxa" w:w="2880"/>
          </w:tcPr>
          <w:p>
            <w:r>
              <w:t>S9, S10</w:t>
            </w:r>
          </w:p>
        </w:tc>
      </w:tr>
      <w:tr>
        <w:tc>
          <w:tcPr>
            <w:tcW w:type="dxa" w:w="2880"/>
          </w:tcPr>
          <w:p>
            <w:r>
              <w:t>Combinación de correspondencia con campo condicional</w:t>
            </w:r>
          </w:p>
        </w:tc>
        <w:tc>
          <w:tcPr>
            <w:tcW w:type="dxa" w:w="2880"/>
          </w:tcPr>
          <w:p>
            <w:r>
              <w:t>8</w:t>
            </w:r>
          </w:p>
        </w:tc>
        <w:tc>
          <w:tcPr>
            <w:tcW w:type="dxa" w:w="2880"/>
          </w:tcPr>
          <w:p>
            <w:r>
              <w:t>S14</w:t>
            </w:r>
          </w:p>
        </w:tc>
      </w:tr>
      <w:tr>
        <w:tc>
          <w:tcPr>
            <w:tcW w:type="dxa" w:w="2880"/>
          </w:tcPr>
          <w:p>
            <w:r>
              <w:t>Formulario protegido</w:t>
            </w:r>
          </w:p>
        </w:tc>
        <w:tc>
          <w:tcPr>
            <w:tcW w:type="dxa" w:w="2880"/>
          </w:tcPr>
          <w:p>
            <w:r>
              <w:t>6</w:t>
            </w:r>
          </w:p>
        </w:tc>
        <w:tc>
          <w:tcPr>
            <w:tcW w:type="dxa" w:w="2880"/>
          </w:tcPr>
          <w:p>
            <w:r>
              <w:t>S15</w:t>
            </w:r>
          </w:p>
        </w:tc>
      </w:tr>
      <w:tr>
        <w:tc>
          <w:tcPr>
            <w:tcW w:type="dxa" w:w="2880"/>
          </w:tcPr>
          <w:p>
            <w:r>
              <w:t>Exportación a PDF/A accesible (alt text, comprobador OK)</w:t>
            </w:r>
          </w:p>
        </w:tc>
        <w:tc>
          <w:tcPr>
            <w:tcW w:type="dxa" w:w="2880"/>
          </w:tcPr>
          <w:p>
            <w:r>
              <w:t>8</w:t>
            </w:r>
          </w:p>
        </w:tc>
        <w:tc>
          <w:tcPr>
            <w:tcW w:type="dxa" w:w="2880"/>
          </w:tcPr>
          <w:p>
            <w:r>
              <w:t>S19</w:t>
            </w:r>
          </w:p>
        </w:tc>
      </w:tr>
      <w:tr>
        <w:tc>
          <w:tcPr>
            <w:tcW w:type="dxa" w:w="2880"/>
          </w:tcPr>
          <w:p>
            <w:r>
              <w:rPr>
                <w:b/>
              </w:rPr>
              <w:t>TOTAL (se escala al 60 % de la nota)</w:t>
            </w:r>
          </w:p>
        </w:tc>
        <w:tc>
          <w:tcPr>
            <w:tcW w:type="dxa" w:w="2880"/>
          </w:tcPr>
          <w:p>
            <w:r>
              <w:rPr>
                <w:b/>
              </w:rPr>
              <w:t>70</w:t>
            </w:r>
          </w:p>
        </w:tc>
        <w:tc>
          <w:tcPr>
            <w:tcW w:type="dxa" w:w="2880"/>
          </w:tcPr>
          <w:p/>
        </w:tc>
      </w:tr>
    </w:tbl>
    <w:p/>
    <w:p>
      <w:pPr>
        <w:pStyle w:val="Heading1"/>
      </w:pPr>
      <w:r>
        <w:rPr>
          <w:color w:val="1F3B66"/>
        </w:rPr>
        <w:t>Errores que penalizan</w:t>
      </w:r>
    </w:p>
    <w:p>
      <w:pPr>
        <w:spacing w:after="60"/>
      </w:pPr>
      <w:r>
        <w:rPr>
          <w:b w:val="0"/>
          <w:i w:val="0"/>
          <w:color w:val="9A3A12"/>
          <w:sz w:val="20"/>
        </w:rPr>
        <w:t>✗ Índice sin actualizar antes de exportar.</w:t>
      </w:r>
    </w:p>
    <w:p>
      <w:pPr>
        <w:spacing w:after="60"/>
      </w:pPr>
      <w:r>
        <w:rPr>
          <w:b w:val="0"/>
          <w:i w:val="0"/>
          <w:color w:val="9A3A12"/>
          <w:sz w:val="20"/>
        </w:rPr>
        <w:t>✗ Falsos títulos en negrita en lugar de estilos.</w:t>
      </w:r>
    </w:p>
    <w:p>
      <w:pPr>
        <w:spacing w:after="60"/>
      </w:pPr>
      <w:r>
        <w:rPr>
          <w:b w:val="0"/>
          <w:i w:val="0"/>
          <w:color w:val="9A3A12"/>
          <w:sz w:val="20"/>
        </w:rPr>
        <w:t>✗ PDF impreso («Print to PDF») en vez de exportado a PDF/A.</w:t>
      </w:r>
    </w:p>
    <w:p>
      <w:pPr>
        <w:spacing w:after="60"/>
      </w:pPr>
      <w:r>
        <w:rPr>
          <w:b w:val="0"/>
          <w:i w:val="0"/>
          <w:color w:val="9A3A12"/>
          <w:sz w:val="20"/>
        </w:rPr>
        <w:t>✗ Campos de combinación escritos a mano en vez de insertados.</w:t>
      </w:r>
    </w:p>
    <w:p>
      <w:pPr>
        <w:spacing w:after="60"/>
      </w:pPr>
      <w:r>
        <w:rPr>
          <w:b w:val="0"/>
          <w:i w:val="0"/>
          <w:color w:val="9A3A12"/>
          <w:sz w:val="20"/>
        </w:rPr>
        <w:t>✗ Bibliografía APA a mano en vez del gestor de citas.</w:t>
      </w:r>
    </w:p>
    <w:p>
      <w:r>
        <w:br w:type="page"/>
      </w:r>
    </w:p>
    <w:p>
      <w:pPr>
        <w:pStyle w:val="Heading1"/>
      </w:pPr>
      <w:r>
        <w:rPr>
          <w:color w:val="1F3B66"/>
        </w:rPr>
        <w:t>Contenido en bruto a maquetar</w:t>
      </w:r>
    </w:p>
    <w:p>
      <w:pPr>
        <w:spacing w:after="160"/>
      </w:pPr>
      <w:r>
        <w:rPr>
          <w:b w:val="0"/>
          <w:i/>
          <w:color w:val="6B6B6B"/>
          <w:sz w:val="20"/>
        </w:rPr>
        <w:t>Todo está en estilo Normal. Aplícale estilos, estructura, figura, tabla, citas y bibliografía según la rúbrica.</w:t>
      </w:r>
    </w:p>
    <w:p>
      <w:pPr>
        <w:spacing w:after="200"/>
      </w:pPr>
      <w:r>
        <w:rPr>
          <w:b/>
          <w:i w:val="0"/>
          <w:color w:val="1F3B66"/>
          <w:sz w:val="26"/>
        </w:rPr>
        <w:t>LA ESCUELA DE OFIMÁTICA DE LA UNAMBA — Informe del periodo 2026</w:t>
      </w:r>
    </w:p>
    <w:p>
      <w:pPr>
        <w:spacing w:after="40"/>
      </w:pPr>
      <w:r>
        <w:rPr>
          <w:b/>
          <w:i w:val="0"/>
          <w:color w:val="6B6B6B"/>
          <w:sz w:val="24"/>
        </w:rPr>
        <w:t>[Título] Presentación de la Escuela de Ofimática</w:t>
      </w:r>
    </w:p>
    <w:p>
      <w:pPr>
        <w:spacing w:after="160"/>
      </w:pPr>
      <w:r>
        <w:rPr>
          <w:b w:val="0"/>
          <w:i w:val="0"/>
          <w:sz w:val="22"/>
        </w:rPr>
        <w:t>La Escuela de Ofimática de la UNAMBA forma a los estudiantes en el uso profesional de herramientas digitales de productividad. El presente informe resume su oferta y sus resultados del periodo 2026.</w:t>
      </w:r>
    </w:p>
    <w:p>
      <w:pPr>
        <w:spacing w:after="40"/>
      </w:pPr>
      <w:r>
        <w:rPr>
          <w:b/>
          <w:i w:val="0"/>
          <w:color w:val="6B6B6B"/>
          <w:sz w:val="24"/>
        </w:rPr>
        <w:t>[Título] Objetivos de la formación</w:t>
      </w:r>
    </w:p>
    <w:p>
      <w:pPr>
        <w:spacing w:after="160"/>
      </w:pPr>
      <w:r>
        <w:rPr>
          <w:b w:val="0"/>
          <w:i w:val="0"/>
          <w:sz w:val="22"/>
        </w:rPr>
        <w:t>Desarrollar competencias en procesador de textos, hoja de cálculo y presentaciones, con énfasis en documentos profesionales, análisis de datos y comunicación visual.</w:t>
      </w:r>
    </w:p>
    <w:p>
      <w:pPr>
        <w:spacing w:after="40"/>
      </w:pPr>
      <w:r>
        <w:rPr>
          <w:b/>
          <w:i w:val="0"/>
          <w:color w:val="6B6B6B"/>
          <w:sz w:val="24"/>
        </w:rPr>
        <w:t>[Título] Metodología</w:t>
      </w:r>
    </w:p>
    <w:p>
      <w:pPr>
        <w:spacing w:after="160"/>
      </w:pPr>
      <w:r>
        <w:rPr>
          <w:b w:val="0"/>
          <w:i w:val="0"/>
          <w:sz w:val="22"/>
        </w:rPr>
        <w:t>Las sesiones son prácticas, en laboratorio, con casos reales y evaluación por módulos. Cada unidad culmina con un proyecto de aprendizaje aplicado.</w:t>
      </w:r>
    </w:p>
    <w:p>
      <w:pPr>
        <w:spacing w:after="40"/>
      </w:pPr>
      <w:r>
        <w:rPr>
          <w:b/>
          <w:i w:val="0"/>
          <w:color w:val="6B6B6B"/>
          <w:sz w:val="24"/>
        </w:rPr>
        <w:t>[Título] Resultados del periodo</w:t>
      </w:r>
    </w:p>
    <w:p>
      <w:pPr>
        <w:spacing w:after="160"/>
      </w:pPr>
      <w:r>
        <w:rPr>
          <w:b w:val="0"/>
          <w:i w:val="0"/>
          <w:sz w:val="22"/>
        </w:rPr>
        <w:t>El programa atendió a estudiantes de distintas escuelas, con una tasa de aprobación satisfactoria y proyectos finales aplicados a problemas reales de la región.</w:t>
      </w:r>
    </w:p>
    <w:p>
      <w:pPr>
        <w:spacing w:after="40"/>
      </w:pPr>
      <w:r>
        <w:rPr>
          <w:b/>
          <w:i w:val="0"/>
          <w:color w:val="6B6B6B"/>
          <w:sz w:val="24"/>
        </w:rPr>
        <w:t>[Título] Conclusiones</w:t>
      </w:r>
    </w:p>
    <w:p>
      <w:pPr>
        <w:spacing w:after="160"/>
      </w:pPr>
      <w:r>
        <w:rPr>
          <w:b w:val="0"/>
          <w:i w:val="0"/>
          <w:sz w:val="22"/>
        </w:rPr>
        <w:t>La formación en ofimática intermedia fortalece la empleabilidad y la productividad de los estudiantes, y sienta las bases para el análisis de datos y la automatización.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